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48 vom 8. Mai 2014</w:t>
      </w:r>
    </w:p>
    <w:p>
      <w:r>
        <w:t>GR Gerichte, 2014-05-08, DE</w:t>
      </w:r>
    </w:p>
    <w:p>
      <w:r>
        <w:rPr>
          <w:b/>
        </w:rPr>
        <w:t xml:space="preserve">Quelle: </w:t>
      </w:r>
      <w:r>
        <w:t>https://mcp.opencaselaw.ch/entscheid/gr_gerichte_ZK2 2013 48</w:t>
      </w:r>
    </w:p>
    <w:p>
      <w:r>
        <w:t>FR: GR_GERICHTE ZK2 2013 48 du 8 mai 2014</w:t>
      </w:r>
    </w:p>
    <w:p>
      <w:r>
        <w:t>IT: GR_GERICHTE ZK2 2013 48 del 8 maggio 2014</w:t>
      </w:r>
    </w:p>
    <w:p>
      <w:pPr>
        <w:pStyle w:val="Heading2"/>
      </w:pPr>
      <w:r>
        <w:t>Regeste</w:t>
      </w:r>
    </w:p>
    <w:p>
      <w:r>
        <w:t>Forderung (Parteientschädigung) | Beschwerde Prozessrecht (319 ZPO, ohne die Endentscheide)</w:t>
      </w:r>
    </w:p>
    <w:p>
      <w:pPr>
        <w:pStyle w:val="Heading2"/>
      </w:pPr>
      <w:r>
        <w:t>Erwägungen</w:t>
      </w:r>
    </w:p>
    <w:p>
      <w:r>
        <w:rPr>
          <w:b/>
        </w:rPr>
        <w:t>E. 1</w:t>
      </w:r>
    </w:p>
    <w:p>
      <w:r>
        <w:t>Der Gesuchsgegner sei zu verurteilen, der Gesuchstellerin den Betrag von Fr. 33’525.--, zuzüglich 5% Zins seit dem 20. Februar 2010 zu be- zahlen.</w:t>
      </w:r>
    </w:p>
    <w:p>
      <w:r>
        <w:rPr>
          <w:b/>
        </w:rPr>
        <w:t>E. 2</w:t>
      </w:r>
    </w:p>
    <w:p>
      <w:r>
        <w:t>Unter Kosten- und Entschädigungsfolgen.”</w:t>
      </w:r>
    </w:p>
    <w:p>
      <w:r>
        <w:t>Seite 3 — 15 Mit Prozesseingabe vom 17. Juli 2012 prosequierte die Klägerin die Streitsache an das Bezirksgericht Plessur. Dabei hielt sie am anlässlich der Schlichtungsverhand- lung gestellten Rechtsbegehren fest. Mit Klageantwort vom 5. September 2012 liess X._____ die kostenfällige Abweisung der Klage beantragen. Replik und Du- plik datieren vom 20. November 2012 beziehungsweise 7. Januar 2013. C. Mit Entscheid vom 28. Februar 2013, mitgeteilt am 21. August 2013, er- kannte das Bezirksgericht Plessur: “1. Die Klage wird abgewiesen. 2.a)Die Gerichtskosten in Höhe von CHF 6’200.00 (Entscheidgebühr) ge- hen zu Lasten der Y._____AG und werden mit dem geleisteten Vor- schuss verrechnet. b) Die Y._____AG hat X._____ mit CHF 8’544.95 (inkl. Barauslagen und MwSt.) aussergerichtlich zu entschädigen.</w:t>
      </w:r>
    </w:p>
    <w:p>
      <w:r>
        <w:rPr>
          <w:b/>
        </w:rPr>
        <w:t>E. 3</w:t>
      </w:r>
    </w:p>
    <w:p>
      <w:r>
        <w:t>(Rechtsmittelbelehrung)</w:t>
      </w:r>
    </w:p>
    <w:p>
      <w:r>
        <w:rPr>
          <w:b/>
        </w:rPr>
        <w:t>E. 4</w:t>
      </w:r>
    </w:p>
    <w:p>
      <w:r>
        <w:t>a) Aufgrund des Dargelegten ist die Beschwerde abzuweisen. Bei diesem Ausgang des Verfahrens gehen die Kosten des Beschwerdeverfahrens, beste- hend aus den Gerichtskosten von Fr. 2'000.-- und der Parteientschädigung (Art. 95 Abs. 1 ZPO) von Fr. 1'000.--, zu Lasten des Beschwerdeführers (Art. 106 Abs. 1 ZPO). b) X._____ wurde mit Verfügung des Vorsitzenden der II. Zivilkammer vom 2. April 2014 (ERZ 13 292) die unentgeltliche Rechtspflege für das Beschwerdever- fahren gewährt. Die ihm auferlegten Gerichtskosten und die Kosten seiner Rechtsvertretung gehen demnach zu Lasten des Kantons Graubünden und sind aus der Gerichtskasse zu bezahlen (vgl. Art. 122 Abs. 1 lit. b ZPO). Vorbehalten bleibt die Rückforderung durch den Kostenträger im Sinne von Art. 123 ZPO. c) Mit Honorarrechnung vom 8. April 2014 (vgl. act. D.2 in ERZ 13 292) macht der Rechtsvertreter von X._____ für das Beschwerdeverfahren einen Aufwand von 8.5 Stunden geltend, was bei einem Stundenansatz von Fr. 200.-- ein Honorar von Fr. 1'700.-- ergibt. Hinzu kommen die geltend gemachten Barauslagen von Fr. 56.- -, 8% Mehrwertsteuer von Fr. 140.50, womit ein Honoraranspruch von Fr. 1'896.50 resultiert. Dieser erscheint unter Berücksichtigung des notwendigen Aufwands und der Schwierigkeit der Sache als angemessen.</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